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470"/>
        <w:gridCol w:w="7602"/>
      </w:tblGrid>
      <w:tr w:rsidR="00161D56" w:rsidRPr="00161D56" w:rsidTr="00161D56">
        <w:trPr>
          <w:tblCellSpacing w:w="0" w:type="dxa"/>
        </w:trPr>
        <w:tc>
          <w:tcPr>
            <w:tcW w:w="0" w:type="auto"/>
            <w:noWrap/>
            <w:hideMark/>
          </w:tcPr>
          <w:p w:rsidR="00161D56" w:rsidRPr="00161D56" w:rsidRDefault="00161D56" w:rsidP="00161D56">
            <w:pPr>
              <w:spacing w:before="100" w:beforeAutospacing="1" w:after="100" w:afterAutospacing="1"/>
              <w:outlineLvl w:val="2"/>
              <w:rPr>
                <w:rFonts w:ascii="Times New Roman" w:eastAsia="Times New Roman" w:hAnsi="Times New Roman"/>
                <w:b/>
                <w:bCs/>
                <w:sz w:val="27"/>
                <w:szCs w:val="27"/>
                <w:lang w:eastAsia="pl-PL"/>
              </w:rPr>
            </w:pPr>
            <w:proofErr w:type="spellStart"/>
            <w:r w:rsidRPr="00161D56">
              <w:rPr>
                <w:rFonts w:ascii="Times New Roman" w:eastAsia="Times New Roman" w:hAnsi="Times New Roman"/>
                <w:b/>
                <w:bCs/>
                <w:sz w:val="27"/>
                <w:szCs w:val="27"/>
                <w:lang w:eastAsia="pl-PL"/>
              </w:rPr>
              <w:t>Subject</w:t>
            </w:r>
            <w:proofErr w:type="spellEnd"/>
          </w:p>
        </w:tc>
        <w:tc>
          <w:tcPr>
            <w:tcW w:w="0" w:type="auto"/>
            <w:hideMark/>
          </w:tcPr>
          <w:p w:rsidR="00161D56" w:rsidRPr="00161D56" w:rsidRDefault="00541F9F" w:rsidP="00161D56">
            <w:pPr>
              <w:spacing w:after="0"/>
              <w:rPr>
                <w:rFonts w:ascii="Times New Roman" w:eastAsia="Times New Roman" w:hAnsi="Times New Roman"/>
                <w:sz w:val="24"/>
                <w:szCs w:val="24"/>
                <w:lang w:eastAsia="pl-PL"/>
              </w:rPr>
            </w:pPr>
            <w:hyperlink r:id="rId6" w:tgtFrame="_blank" w:history="1">
              <w:r w:rsidR="00161D56" w:rsidRPr="00161D56">
                <w:rPr>
                  <w:rFonts w:ascii="Times New Roman" w:eastAsia="Times New Roman" w:hAnsi="Times New Roman"/>
                  <w:color w:val="0000FF"/>
                  <w:sz w:val="24"/>
                  <w:szCs w:val="24"/>
                  <w:u w:val="single"/>
                  <w:lang w:eastAsia="pl-PL"/>
                </w:rPr>
                <w:t xml:space="preserve">Rolling </w:t>
              </w:r>
              <w:proofErr w:type="spellStart"/>
              <w:r w:rsidR="00161D56" w:rsidRPr="00161D56">
                <w:rPr>
                  <w:rFonts w:ascii="Times New Roman" w:eastAsia="Times New Roman" w:hAnsi="Times New Roman"/>
                  <w:color w:val="0000FF"/>
                  <w:sz w:val="24"/>
                  <w:szCs w:val="24"/>
                  <w:u w:val="single"/>
                  <w:lang w:eastAsia="pl-PL"/>
                </w:rPr>
                <w:t>stock</w:t>
              </w:r>
              <w:proofErr w:type="spellEnd"/>
              <w:r w:rsidR="00161D56" w:rsidRPr="00161D56">
                <w:rPr>
                  <w:rFonts w:ascii="Times New Roman" w:eastAsia="Times New Roman" w:hAnsi="Times New Roman"/>
                  <w:color w:val="0000FF"/>
                  <w:sz w:val="24"/>
                  <w:szCs w:val="24"/>
                  <w:u w:val="single"/>
                  <w:lang w:eastAsia="pl-PL"/>
                </w:rPr>
                <w:t xml:space="preserve"> - </w:t>
              </w:r>
              <w:proofErr w:type="spellStart"/>
              <w:r w:rsidR="00161D56" w:rsidRPr="00161D56">
                <w:rPr>
                  <w:rFonts w:ascii="Times New Roman" w:eastAsia="Times New Roman" w:hAnsi="Times New Roman"/>
                  <w:color w:val="0000FF"/>
                  <w:sz w:val="24"/>
                  <w:szCs w:val="24"/>
                  <w:u w:val="single"/>
                  <w:lang w:eastAsia="pl-PL"/>
                </w:rPr>
                <w:t>other</w:t>
              </w:r>
              <w:proofErr w:type="spellEnd"/>
            </w:hyperlink>
            <w:r w:rsidR="00161D56" w:rsidRPr="00161D56">
              <w:rPr>
                <w:rFonts w:ascii="Times New Roman" w:eastAsia="Times New Roman" w:hAnsi="Times New Roman"/>
                <w:sz w:val="24"/>
                <w:szCs w:val="24"/>
                <w:lang w:eastAsia="pl-PL"/>
              </w:rPr>
              <w:t xml:space="preserve"> </w:t>
            </w:r>
          </w:p>
        </w:tc>
      </w:tr>
      <w:tr w:rsidR="00161D56" w:rsidRPr="00161D56" w:rsidTr="00161D56">
        <w:trPr>
          <w:tblCellSpacing w:w="0" w:type="dxa"/>
        </w:trPr>
        <w:tc>
          <w:tcPr>
            <w:tcW w:w="0" w:type="auto"/>
            <w:noWrap/>
            <w:hideMark/>
          </w:tcPr>
          <w:p w:rsidR="00161D56" w:rsidRPr="00161D56" w:rsidRDefault="00161D56" w:rsidP="00161D56">
            <w:pPr>
              <w:spacing w:before="100" w:beforeAutospacing="1" w:after="100" w:afterAutospacing="1"/>
              <w:outlineLvl w:val="2"/>
              <w:rPr>
                <w:rFonts w:ascii="Times New Roman" w:eastAsia="Times New Roman" w:hAnsi="Times New Roman"/>
                <w:b/>
                <w:bCs/>
                <w:sz w:val="27"/>
                <w:szCs w:val="27"/>
                <w:lang w:eastAsia="pl-PL"/>
              </w:rPr>
            </w:pPr>
            <w:bookmarkStart w:id="0" w:name="SPBookmark_Title"/>
            <w:bookmarkEnd w:id="0"/>
            <w:proofErr w:type="spellStart"/>
            <w:r w:rsidRPr="00161D56">
              <w:rPr>
                <w:rFonts w:ascii="Times New Roman" w:eastAsia="Times New Roman" w:hAnsi="Times New Roman"/>
                <w:b/>
                <w:bCs/>
                <w:sz w:val="27"/>
                <w:szCs w:val="27"/>
                <w:lang w:eastAsia="pl-PL"/>
              </w:rPr>
              <w:t>Equipment</w:t>
            </w:r>
            <w:proofErr w:type="spellEnd"/>
          </w:p>
        </w:tc>
        <w:tc>
          <w:tcPr>
            <w:tcW w:w="0" w:type="auto"/>
            <w:hideMark/>
          </w:tcPr>
          <w:p w:rsidR="00161D56" w:rsidRPr="00161D56" w:rsidRDefault="00161D56" w:rsidP="00161D56">
            <w:pPr>
              <w:spacing w:after="0"/>
              <w:rPr>
                <w:rFonts w:ascii="Times New Roman" w:eastAsia="Times New Roman" w:hAnsi="Times New Roman"/>
                <w:sz w:val="24"/>
                <w:szCs w:val="24"/>
                <w:lang w:val="en-US" w:eastAsia="pl-PL"/>
              </w:rPr>
            </w:pPr>
            <w:r w:rsidRPr="00161D56">
              <w:rPr>
                <w:rFonts w:ascii="Times New Roman" w:eastAsia="Times New Roman" w:hAnsi="Times New Roman"/>
                <w:sz w:val="24"/>
                <w:szCs w:val="24"/>
                <w:lang w:val="en-US" w:eastAsia="pl-PL"/>
              </w:rPr>
              <w:t xml:space="preserve">End of the alert related to wagons equipped with AFR22 bogies </w:t>
            </w:r>
          </w:p>
        </w:tc>
      </w:tr>
      <w:tr w:rsidR="00161D56" w:rsidRPr="00161D56" w:rsidTr="00161D56">
        <w:trPr>
          <w:tblCellSpacing w:w="0" w:type="dxa"/>
        </w:trPr>
        <w:tc>
          <w:tcPr>
            <w:tcW w:w="0" w:type="auto"/>
            <w:noWrap/>
            <w:hideMark/>
          </w:tcPr>
          <w:p w:rsidR="00161D56" w:rsidRPr="00161D56" w:rsidRDefault="00161D56" w:rsidP="00161D56">
            <w:pPr>
              <w:spacing w:before="100" w:beforeAutospacing="1" w:after="100" w:afterAutospacing="1"/>
              <w:outlineLvl w:val="2"/>
              <w:rPr>
                <w:rFonts w:ascii="Times New Roman" w:eastAsia="Times New Roman" w:hAnsi="Times New Roman"/>
                <w:b/>
                <w:bCs/>
                <w:sz w:val="27"/>
                <w:szCs w:val="27"/>
                <w:lang w:eastAsia="pl-PL"/>
              </w:rPr>
            </w:pPr>
            <w:bookmarkStart w:id="1" w:name="SPBookmark_SIS_x0020_Description"/>
            <w:bookmarkEnd w:id="1"/>
            <w:proofErr w:type="spellStart"/>
            <w:r w:rsidRPr="00161D56">
              <w:rPr>
                <w:rFonts w:ascii="Times New Roman" w:eastAsia="Times New Roman" w:hAnsi="Times New Roman"/>
                <w:b/>
                <w:bCs/>
                <w:sz w:val="27"/>
                <w:szCs w:val="27"/>
                <w:lang w:eastAsia="pl-PL"/>
              </w:rPr>
              <w:t>Description</w:t>
            </w:r>
            <w:proofErr w:type="spellEnd"/>
          </w:p>
        </w:tc>
        <w:tc>
          <w:tcPr>
            <w:tcW w:w="0" w:type="auto"/>
            <w:hideMark/>
          </w:tcPr>
          <w:p w:rsidR="00161D56" w:rsidRPr="00161D56" w:rsidRDefault="00161D56" w:rsidP="00161D56">
            <w:pPr>
              <w:spacing w:after="0"/>
              <w:rPr>
                <w:rFonts w:ascii="Times New Roman" w:eastAsia="Times New Roman" w:hAnsi="Times New Roman"/>
                <w:sz w:val="24"/>
                <w:szCs w:val="24"/>
                <w:lang w:val="en-US" w:eastAsia="pl-PL"/>
              </w:rPr>
            </w:pPr>
            <w:r w:rsidRPr="00161D56">
              <w:rPr>
                <w:rFonts w:ascii="Times New Roman" w:eastAsia="Times New Roman" w:hAnsi="Times New Roman"/>
                <w:sz w:val="24"/>
                <w:szCs w:val="24"/>
                <w:lang w:val="en-US" w:eastAsia="pl-PL"/>
              </w:rPr>
              <w:t xml:space="preserve">EPSF issued an alert on 13 November 2017, following the observation of significant cracks recorded by an operator on wagons equipped with AFR22 bogies (see attachment). </w:t>
            </w:r>
            <w:r w:rsidRPr="00161D56">
              <w:rPr>
                <w:rFonts w:ascii="Times New Roman" w:eastAsia="Times New Roman" w:hAnsi="Times New Roman"/>
                <w:sz w:val="24"/>
                <w:szCs w:val="24"/>
                <w:lang w:val="en-US" w:eastAsia="pl-PL"/>
              </w:rPr>
              <w:br/>
              <w:t xml:space="preserve">To date, 96% of the 2513 wagons equipped with these bogies have been checked. According to the feedback provided to EPSF by the ECM concerned, these controls did not reveal any similar cases to those that led to the alert. </w:t>
            </w:r>
            <w:r w:rsidRPr="00161D56">
              <w:rPr>
                <w:rFonts w:ascii="Times New Roman" w:eastAsia="Times New Roman" w:hAnsi="Times New Roman"/>
                <w:sz w:val="24"/>
                <w:szCs w:val="24"/>
                <w:lang w:val="en-US" w:eastAsia="pl-PL"/>
              </w:rPr>
              <w:br/>
              <w:t xml:space="preserve">Of the 2422 wagons controlled, 2% have defects, with a large majority of which relate to an identified park of 191 wagons equipped with bogies manufactured before March 2012, for which the manufacturer has initiated the implementation of reinforcement measures throughout the subject fleet. </w:t>
            </w:r>
            <w:r w:rsidRPr="00161D56">
              <w:rPr>
                <w:rFonts w:ascii="Times New Roman" w:eastAsia="Times New Roman" w:hAnsi="Times New Roman"/>
                <w:sz w:val="24"/>
                <w:szCs w:val="24"/>
                <w:lang w:val="en-US" w:eastAsia="pl-PL"/>
              </w:rPr>
              <w:br/>
              <w:t xml:space="preserve">The bogies manufactured after March 2012, on which so far have been identified defects or suspicions of defects not yet confirmed, represent less than 1% of the remainder of the controlled fleet, among which are the cases at the origin of the alert. </w:t>
            </w:r>
            <w:bookmarkStart w:id="2" w:name="_GoBack"/>
            <w:bookmarkEnd w:id="2"/>
            <w:r w:rsidRPr="00161D56">
              <w:rPr>
                <w:rFonts w:ascii="Times New Roman" w:eastAsia="Times New Roman" w:hAnsi="Times New Roman"/>
                <w:sz w:val="24"/>
                <w:szCs w:val="24"/>
                <w:lang w:val="en-US" w:eastAsia="pl-PL"/>
              </w:rPr>
              <w:br/>
              <w:t xml:space="preserve">This subject is closely monitored by the keepers and ECM of the wagons involved and by the bogies manufacturer who continue their analysis. </w:t>
            </w:r>
            <w:r w:rsidRPr="00161D56">
              <w:rPr>
                <w:rFonts w:ascii="Times New Roman" w:eastAsia="Times New Roman" w:hAnsi="Times New Roman"/>
                <w:sz w:val="24"/>
                <w:szCs w:val="24"/>
                <w:lang w:val="en-US" w:eastAsia="pl-PL"/>
              </w:rPr>
              <w:br/>
              <w:t xml:space="preserve">The current state of the situation and the level of control of the measures presented by the actors concerned enable EPSF to lift the alert issued on 13 November 2017. </w:t>
            </w:r>
            <w:r w:rsidRPr="00161D56">
              <w:rPr>
                <w:rFonts w:ascii="Times New Roman" w:eastAsia="Times New Roman" w:hAnsi="Times New Roman"/>
                <w:sz w:val="24"/>
                <w:szCs w:val="24"/>
                <w:lang w:val="en-US" w:eastAsia="pl-PL"/>
              </w:rPr>
              <w:br/>
              <w:t xml:space="preserve">EPSF remains in close contact with the keepers, the ECM and the manufacturer to ensure the correct completion of the actions to be carried out. </w:t>
            </w:r>
          </w:p>
        </w:tc>
      </w:tr>
      <w:tr w:rsidR="00161D56" w:rsidRPr="00161D56" w:rsidTr="00161D56">
        <w:trPr>
          <w:tblCellSpacing w:w="0" w:type="dxa"/>
        </w:trPr>
        <w:tc>
          <w:tcPr>
            <w:tcW w:w="0" w:type="auto"/>
            <w:noWrap/>
            <w:hideMark/>
          </w:tcPr>
          <w:p w:rsidR="00161D56" w:rsidRPr="00161D56" w:rsidRDefault="00161D56" w:rsidP="00161D56">
            <w:pPr>
              <w:spacing w:before="100" w:beforeAutospacing="1" w:after="100" w:afterAutospacing="1"/>
              <w:outlineLvl w:val="2"/>
              <w:rPr>
                <w:rFonts w:ascii="Times New Roman" w:eastAsia="Times New Roman" w:hAnsi="Times New Roman"/>
                <w:b/>
                <w:bCs/>
                <w:sz w:val="27"/>
                <w:szCs w:val="27"/>
                <w:lang w:eastAsia="pl-PL"/>
              </w:rPr>
            </w:pPr>
            <w:bookmarkStart w:id="3" w:name="SPBookmark_Country"/>
            <w:bookmarkEnd w:id="3"/>
            <w:r w:rsidRPr="00161D56">
              <w:rPr>
                <w:rFonts w:ascii="Times New Roman" w:eastAsia="Times New Roman" w:hAnsi="Times New Roman"/>
                <w:b/>
                <w:bCs/>
                <w:sz w:val="27"/>
                <w:szCs w:val="27"/>
                <w:lang w:eastAsia="pl-PL"/>
              </w:rPr>
              <w:t>Country</w:t>
            </w:r>
          </w:p>
        </w:tc>
        <w:tc>
          <w:tcPr>
            <w:tcW w:w="0" w:type="auto"/>
            <w:hideMark/>
          </w:tcPr>
          <w:p w:rsidR="00161D56" w:rsidRPr="00161D56" w:rsidRDefault="00161D56" w:rsidP="00161D56">
            <w:pPr>
              <w:spacing w:after="0"/>
              <w:rPr>
                <w:rFonts w:ascii="Times New Roman" w:eastAsia="Times New Roman" w:hAnsi="Times New Roman"/>
                <w:sz w:val="24"/>
                <w:szCs w:val="24"/>
                <w:lang w:eastAsia="pl-PL"/>
              </w:rPr>
            </w:pPr>
            <w:r w:rsidRPr="00161D56">
              <w:rPr>
                <w:rFonts w:ascii="Times New Roman" w:eastAsia="Times New Roman" w:hAnsi="Times New Roman"/>
                <w:sz w:val="24"/>
                <w:szCs w:val="24"/>
                <w:lang w:eastAsia="pl-PL"/>
              </w:rPr>
              <w:t xml:space="preserve">France </w:t>
            </w:r>
          </w:p>
        </w:tc>
      </w:tr>
      <w:tr w:rsidR="00161D56" w:rsidRPr="00161D56" w:rsidTr="00161D56">
        <w:trPr>
          <w:tblCellSpacing w:w="0" w:type="dxa"/>
        </w:trPr>
        <w:tc>
          <w:tcPr>
            <w:tcW w:w="0" w:type="auto"/>
            <w:noWrap/>
            <w:hideMark/>
          </w:tcPr>
          <w:p w:rsidR="00161D56" w:rsidRPr="00161D56" w:rsidRDefault="00161D56" w:rsidP="00161D56">
            <w:pPr>
              <w:spacing w:before="100" w:beforeAutospacing="1" w:after="100" w:afterAutospacing="1"/>
              <w:outlineLvl w:val="2"/>
              <w:rPr>
                <w:rFonts w:ascii="Times New Roman" w:eastAsia="Times New Roman" w:hAnsi="Times New Roman"/>
                <w:b/>
                <w:bCs/>
                <w:sz w:val="27"/>
                <w:szCs w:val="27"/>
                <w:lang w:eastAsia="pl-PL"/>
              </w:rPr>
            </w:pPr>
            <w:bookmarkStart w:id="4" w:name="SPBookmark_Issuer"/>
            <w:bookmarkEnd w:id="4"/>
            <w:proofErr w:type="spellStart"/>
            <w:r w:rsidRPr="00161D56">
              <w:rPr>
                <w:rFonts w:ascii="Times New Roman" w:eastAsia="Times New Roman" w:hAnsi="Times New Roman"/>
                <w:b/>
                <w:bCs/>
                <w:sz w:val="27"/>
                <w:szCs w:val="27"/>
                <w:lang w:eastAsia="pl-PL"/>
              </w:rPr>
              <w:t>Issuer</w:t>
            </w:r>
            <w:proofErr w:type="spellEnd"/>
          </w:p>
        </w:tc>
        <w:tc>
          <w:tcPr>
            <w:tcW w:w="0" w:type="auto"/>
            <w:hideMark/>
          </w:tcPr>
          <w:p w:rsidR="00161D56" w:rsidRPr="00161D56" w:rsidRDefault="00161D56" w:rsidP="00161D56">
            <w:pPr>
              <w:spacing w:after="0"/>
              <w:rPr>
                <w:rFonts w:ascii="Times New Roman" w:eastAsia="Times New Roman" w:hAnsi="Times New Roman"/>
                <w:sz w:val="24"/>
                <w:szCs w:val="24"/>
                <w:lang w:eastAsia="pl-PL"/>
              </w:rPr>
            </w:pPr>
            <w:r w:rsidRPr="00161D56">
              <w:rPr>
                <w:rFonts w:ascii="Times New Roman" w:eastAsia="Times New Roman" w:hAnsi="Times New Roman"/>
                <w:sz w:val="24"/>
                <w:szCs w:val="24"/>
                <w:lang w:eastAsia="pl-PL"/>
              </w:rPr>
              <w:t xml:space="preserve">NSA </w:t>
            </w:r>
          </w:p>
        </w:tc>
      </w:tr>
      <w:tr w:rsidR="00161D56" w:rsidRPr="00161D56" w:rsidTr="00161D56">
        <w:trPr>
          <w:tblCellSpacing w:w="0" w:type="dxa"/>
        </w:trPr>
        <w:tc>
          <w:tcPr>
            <w:tcW w:w="0" w:type="auto"/>
            <w:noWrap/>
            <w:hideMark/>
          </w:tcPr>
          <w:p w:rsidR="00161D56" w:rsidRPr="00161D56" w:rsidRDefault="00161D56" w:rsidP="00161D56">
            <w:pPr>
              <w:spacing w:before="100" w:beforeAutospacing="1" w:after="100" w:afterAutospacing="1"/>
              <w:outlineLvl w:val="2"/>
              <w:rPr>
                <w:rFonts w:ascii="Times New Roman" w:eastAsia="Times New Roman" w:hAnsi="Times New Roman"/>
                <w:b/>
                <w:bCs/>
                <w:sz w:val="27"/>
                <w:szCs w:val="27"/>
                <w:lang w:eastAsia="pl-PL"/>
              </w:rPr>
            </w:pPr>
            <w:bookmarkStart w:id="5" w:name="SPBookmark_Issuing_x0020_Date"/>
            <w:bookmarkEnd w:id="5"/>
            <w:proofErr w:type="spellStart"/>
            <w:r w:rsidRPr="00161D56">
              <w:rPr>
                <w:rFonts w:ascii="Times New Roman" w:eastAsia="Times New Roman" w:hAnsi="Times New Roman"/>
                <w:b/>
                <w:bCs/>
                <w:sz w:val="27"/>
                <w:szCs w:val="27"/>
                <w:lang w:eastAsia="pl-PL"/>
              </w:rPr>
              <w:t>Issuing</w:t>
            </w:r>
            <w:proofErr w:type="spellEnd"/>
            <w:r w:rsidRPr="00161D56">
              <w:rPr>
                <w:rFonts w:ascii="Times New Roman" w:eastAsia="Times New Roman" w:hAnsi="Times New Roman"/>
                <w:b/>
                <w:bCs/>
                <w:sz w:val="27"/>
                <w:szCs w:val="27"/>
                <w:lang w:eastAsia="pl-PL"/>
              </w:rPr>
              <w:t xml:space="preserve"> </w:t>
            </w:r>
            <w:proofErr w:type="spellStart"/>
            <w:r w:rsidRPr="00161D56">
              <w:rPr>
                <w:rFonts w:ascii="Times New Roman" w:eastAsia="Times New Roman" w:hAnsi="Times New Roman"/>
                <w:b/>
                <w:bCs/>
                <w:sz w:val="27"/>
                <w:szCs w:val="27"/>
                <w:lang w:eastAsia="pl-PL"/>
              </w:rPr>
              <w:t>Date</w:t>
            </w:r>
            <w:proofErr w:type="spellEnd"/>
          </w:p>
        </w:tc>
        <w:tc>
          <w:tcPr>
            <w:tcW w:w="0" w:type="auto"/>
            <w:hideMark/>
          </w:tcPr>
          <w:p w:rsidR="00161D56" w:rsidRPr="00161D56" w:rsidRDefault="00161D56" w:rsidP="00161D56">
            <w:pPr>
              <w:spacing w:after="0"/>
              <w:rPr>
                <w:rFonts w:ascii="Times New Roman" w:eastAsia="Times New Roman" w:hAnsi="Times New Roman"/>
                <w:sz w:val="24"/>
                <w:szCs w:val="24"/>
                <w:lang w:eastAsia="pl-PL"/>
              </w:rPr>
            </w:pPr>
            <w:r w:rsidRPr="00161D56">
              <w:rPr>
                <w:rFonts w:ascii="Times New Roman" w:eastAsia="Times New Roman" w:hAnsi="Times New Roman"/>
                <w:sz w:val="24"/>
                <w:szCs w:val="24"/>
                <w:lang w:eastAsia="pl-PL"/>
              </w:rPr>
              <w:t xml:space="preserve">20/12/2017  </w:t>
            </w:r>
          </w:p>
        </w:tc>
      </w:tr>
      <w:tr w:rsidR="00161D56" w:rsidRPr="00161D56" w:rsidTr="00161D56">
        <w:trPr>
          <w:tblCellSpacing w:w="0" w:type="dxa"/>
        </w:trPr>
        <w:tc>
          <w:tcPr>
            <w:tcW w:w="0" w:type="auto"/>
            <w:noWrap/>
            <w:hideMark/>
          </w:tcPr>
          <w:p w:rsidR="00161D56" w:rsidRPr="00161D56" w:rsidRDefault="00161D56" w:rsidP="00161D56">
            <w:pPr>
              <w:spacing w:before="100" w:beforeAutospacing="1" w:after="100" w:afterAutospacing="1"/>
              <w:outlineLvl w:val="2"/>
              <w:rPr>
                <w:rFonts w:ascii="Times New Roman" w:eastAsia="Times New Roman" w:hAnsi="Times New Roman"/>
                <w:b/>
                <w:bCs/>
                <w:sz w:val="27"/>
                <w:szCs w:val="27"/>
                <w:lang w:eastAsia="pl-PL"/>
              </w:rPr>
            </w:pPr>
            <w:bookmarkStart w:id="6" w:name="SPBookmark_Attachments"/>
            <w:bookmarkEnd w:id="6"/>
            <w:proofErr w:type="spellStart"/>
            <w:r w:rsidRPr="00161D56">
              <w:rPr>
                <w:rFonts w:ascii="Times New Roman" w:eastAsia="Times New Roman" w:hAnsi="Times New Roman"/>
                <w:b/>
                <w:bCs/>
                <w:sz w:val="27"/>
                <w:szCs w:val="27"/>
                <w:lang w:eastAsia="pl-PL"/>
              </w:rPr>
              <w:t>Attachments</w:t>
            </w:r>
            <w:proofErr w:type="spellEnd"/>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7602"/>
            </w:tblGrid>
            <w:tr w:rsidR="00161D56" w:rsidRPr="00161D56">
              <w:trPr>
                <w:tblCellSpacing w:w="0" w:type="dxa"/>
              </w:trPr>
              <w:tc>
                <w:tcPr>
                  <w:tcW w:w="0" w:type="auto"/>
                  <w:vAlign w:val="center"/>
                  <w:hideMark/>
                </w:tcPr>
                <w:p w:rsidR="00161D56" w:rsidRPr="00161D56" w:rsidRDefault="00541F9F" w:rsidP="00161D56">
                  <w:pPr>
                    <w:spacing w:after="0"/>
                    <w:rPr>
                      <w:rFonts w:ascii="Times New Roman" w:eastAsia="Times New Roman" w:hAnsi="Times New Roman"/>
                      <w:sz w:val="24"/>
                      <w:szCs w:val="24"/>
                      <w:lang w:val="en-US" w:eastAsia="pl-PL"/>
                    </w:rPr>
                  </w:pPr>
                  <w:hyperlink r:id="rId7" w:history="1">
                    <w:r w:rsidR="00161D56" w:rsidRPr="00161D56">
                      <w:rPr>
                        <w:rFonts w:ascii="Times New Roman" w:eastAsia="Times New Roman" w:hAnsi="Times New Roman"/>
                        <w:color w:val="0000FF"/>
                        <w:sz w:val="24"/>
                        <w:szCs w:val="24"/>
                        <w:u w:val="single"/>
                        <w:lang w:val="en-US" w:eastAsia="pl-PL"/>
                      </w:rPr>
                      <w:t>AFR 22 bogies Safety Alert.pdf</w:t>
                    </w:r>
                  </w:hyperlink>
                </w:p>
              </w:tc>
            </w:tr>
          </w:tbl>
          <w:p w:rsidR="00161D56" w:rsidRPr="00161D56" w:rsidRDefault="00161D56" w:rsidP="00161D56">
            <w:pPr>
              <w:spacing w:after="0"/>
              <w:rPr>
                <w:rFonts w:ascii="Times New Roman" w:eastAsia="Times New Roman" w:hAnsi="Times New Roman"/>
                <w:sz w:val="24"/>
                <w:szCs w:val="24"/>
                <w:lang w:val="en-US" w:eastAsia="pl-PL"/>
              </w:rPr>
            </w:pPr>
          </w:p>
        </w:tc>
      </w:tr>
    </w:tbl>
    <w:p w:rsidR="006F57D7" w:rsidRDefault="006F57D7">
      <w:pPr>
        <w:rPr>
          <w:lang w:val="en-US"/>
        </w:rPr>
      </w:pPr>
    </w:p>
    <w:p w:rsidR="006F57D7" w:rsidRPr="00161D56" w:rsidRDefault="006F57D7">
      <w:pPr>
        <w:rPr>
          <w:lang w:val="en-US"/>
        </w:rPr>
      </w:pPr>
    </w:p>
    <w:sectPr w:rsidR="006F57D7" w:rsidRPr="00161D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Lato">
    <w:panose1 w:val="020F0502020204030203"/>
    <w:charset w:val="EE"/>
    <w:family w:val="swiss"/>
    <w:pitch w:val="variable"/>
    <w:sig w:usb0="A00000AF" w:usb1="5000604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D5FFC"/>
    <w:multiLevelType w:val="multilevel"/>
    <w:tmpl w:val="BF0CC0D2"/>
    <w:lvl w:ilvl="0">
      <w:start w:val="15"/>
      <w:numFmt w:val="decimal"/>
      <w:pStyle w:val="Nagwek1"/>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nsid w:val="423A611D"/>
    <w:multiLevelType w:val="multilevel"/>
    <w:tmpl w:val="D2FE0218"/>
    <w:lvl w:ilvl="0">
      <w:start w:val="1"/>
      <w:numFmt w:val="decimal"/>
      <w:lvlText w:val="%1."/>
      <w:lvlJc w:val="left"/>
      <w:pPr>
        <w:ind w:left="360" w:hanging="360"/>
      </w:pPr>
      <w:rPr>
        <w:rFonts w:hint="default"/>
      </w:rPr>
    </w:lvl>
    <w:lvl w:ilvl="1">
      <w:start w:val="1"/>
      <w:numFmt w:val="decimal"/>
      <w:pStyle w:val="Nagwek2"/>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56"/>
    <w:rsid w:val="000316A5"/>
    <w:rsid w:val="00107E51"/>
    <w:rsid w:val="00161D56"/>
    <w:rsid w:val="00423BAE"/>
    <w:rsid w:val="004D1EAD"/>
    <w:rsid w:val="00541F9F"/>
    <w:rsid w:val="006568C5"/>
    <w:rsid w:val="006F57D7"/>
    <w:rsid w:val="007144F1"/>
    <w:rsid w:val="00792820"/>
    <w:rsid w:val="007E4D5C"/>
    <w:rsid w:val="008734E2"/>
    <w:rsid w:val="009A77BA"/>
    <w:rsid w:val="009C0D13"/>
    <w:rsid w:val="00A0675B"/>
    <w:rsid w:val="00A14DA5"/>
    <w:rsid w:val="00A34E15"/>
    <w:rsid w:val="00C70AD3"/>
    <w:rsid w:val="00CD1BD2"/>
    <w:rsid w:val="00D05EDD"/>
    <w:rsid w:val="00D16981"/>
    <w:rsid w:val="00FB2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pl-PL"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07E51"/>
    <w:pPr>
      <w:keepNext/>
      <w:keepLines/>
      <w:numPr>
        <w:numId w:val="2"/>
      </w:numPr>
      <w:spacing w:before="240" w:line="276" w:lineRule="auto"/>
      <w:jc w:val="both"/>
      <w:outlineLvl w:val="0"/>
    </w:pPr>
    <w:rPr>
      <w:rFonts w:ascii="Lato" w:eastAsiaTheme="majorEastAsia" w:hAnsi="Lato" w:cstheme="majorBidi"/>
      <w:b/>
      <w:color w:val="042B60"/>
      <w:sz w:val="32"/>
      <w:szCs w:val="32"/>
      <w:lang w:eastAsia="pl-PL"/>
    </w:rPr>
  </w:style>
  <w:style w:type="paragraph" w:styleId="Nagwek2">
    <w:name w:val="heading 2"/>
    <w:basedOn w:val="Normalny"/>
    <w:next w:val="Normalny"/>
    <w:link w:val="Nagwek2Znak"/>
    <w:uiPriority w:val="9"/>
    <w:unhideWhenUsed/>
    <w:qFormat/>
    <w:rsid w:val="00107E51"/>
    <w:pPr>
      <w:keepNext/>
      <w:keepLines/>
      <w:numPr>
        <w:ilvl w:val="1"/>
        <w:numId w:val="1"/>
      </w:numPr>
      <w:spacing w:before="40"/>
      <w:jc w:val="both"/>
      <w:outlineLvl w:val="1"/>
    </w:pPr>
    <w:rPr>
      <w:rFonts w:ascii="Lato" w:eastAsiaTheme="majorEastAsia" w:hAnsi="Lato" w:cstheme="majorBidi"/>
      <w:b/>
      <w:color w:val="042B60"/>
      <w:sz w:val="26"/>
      <w:szCs w:val="26"/>
      <w:lang w:eastAsia="pl-PL"/>
    </w:rPr>
  </w:style>
  <w:style w:type="paragraph" w:styleId="Nagwek3">
    <w:name w:val="heading 3"/>
    <w:basedOn w:val="Normalny"/>
    <w:link w:val="Nagwek3Znak"/>
    <w:uiPriority w:val="9"/>
    <w:qFormat/>
    <w:rsid w:val="00161D56"/>
    <w:pPr>
      <w:spacing w:before="100" w:beforeAutospacing="1" w:after="100" w:afterAutospacing="1"/>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07E51"/>
    <w:rPr>
      <w:rFonts w:ascii="Lato" w:eastAsiaTheme="majorEastAsia" w:hAnsi="Lato" w:cstheme="majorBidi"/>
      <w:b/>
      <w:color w:val="042B60"/>
      <w:sz w:val="26"/>
      <w:szCs w:val="26"/>
      <w:lang w:eastAsia="pl-PL"/>
    </w:rPr>
  </w:style>
  <w:style w:type="character" w:customStyle="1" w:styleId="Nagwek1Znak">
    <w:name w:val="Nagłówek 1 Znak"/>
    <w:basedOn w:val="Domylnaczcionkaakapitu"/>
    <w:link w:val="Nagwek1"/>
    <w:uiPriority w:val="9"/>
    <w:rsid w:val="00107E51"/>
    <w:rPr>
      <w:rFonts w:ascii="Lato" w:eastAsiaTheme="majorEastAsia" w:hAnsi="Lato" w:cstheme="majorBidi"/>
      <w:b/>
      <w:color w:val="042B60"/>
      <w:sz w:val="32"/>
      <w:szCs w:val="32"/>
      <w:lang w:eastAsia="pl-PL"/>
    </w:rPr>
  </w:style>
  <w:style w:type="character" w:customStyle="1" w:styleId="Nagwek3Znak">
    <w:name w:val="Nagłówek 3 Znak"/>
    <w:basedOn w:val="Domylnaczcionkaakapitu"/>
    <w:link w:val="Nagwek3"/>
    <w:uiPriority w:val="9"/>
    <w:rsid w:val="00161D56"/>
    <w:rPr>
      <w:rFonts w:ascii="Times New Roman" w:eastAsia="Times New Roman" w:hAnsi="Times New Roman"/>
      <w:b/>
      <w:bCs/>
      <w:sz w:val="27"/>
      <w:szCs w:val="27"/>
      <w:lang w:eastAsia="pl-PL"/>
    </w:rPr>
  </w:style>
  <w:style w:type="character" w:styleId="Hipercze">
    <w:name w:val="Hyperlink"/>
    <w:basedOn w:val="Domylnaczcionkaakapitu"/>
    <w:uiPriority w:val="99"/>
    <w:semiHidden/>
    <w:unhideWhenUsed/>
    <w:rsid w:val="00161D56"/>
    <w:rPr>
      <w:color w:val="0000FF"/>
      <w:u w:val="single"/>
    </w:rPr>
  </w:style>
  <w:style w:type="character" w:customStyle="1" w:styleId="alt-edited">
    <w:name w:val="alt-edited"/>
    <w:basedOn w:val="Domylnaczcionkaakapitu"/>
    <w:rsid w:val="00C70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pl-PL"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107E51"/>
    <w:pPr>
      <w:keepNext/>
      <w:keepLines/>
      <w:numPr>
        <w:numId w:val="2"/>
      </w:numPr>
      <w:spacing w:before="240" w:line="276" w:lineRule="auto"/>
      <w:jc w:val="both"/>
      <w:outlineLvl w:val="0"/>
    </w:pPr>
    <w:rPr>
      <w:rFonts w:ascii="Lato" w:eastAsiaTheme="majorEastAsia" w:hAnsi="Lato" w:cstheme="majorBidi"/>
      <w:b/>
      <w:color w:val="042B60"/>
      <w:sz w:val="32"/>
      <w:szCs w:val="32"/>
      <w:lang w:eastAsia="pl-PL"/>
    </w:rPr>
  </w:style>
  <w:style w:type="paragraph" w:styleId="Nagwek2">
    <w:name w:val="heading 2"/>
    <w:basedOn w:val="Normalny"/>
    <w:next w:val="Normalny"/>
    <w:link w:val="Nagwek2Znak"/>
    <w:uiPriority w:val="9"/>
    <w:unhideWhenUsed/>
    <w:qFormat/>
    <w:rsid w:val="00107E51"/>
    <w:pPr>
      <w:keepNext/>
      <w:keepLines/>
      <w:numPr>
        <w:ilvl w:val="1"/>
        <w:numId w:val="1"/>
      </w:numPr>
      <w:spacing w:before="40"/>
      <w:jc w:val="both"/>
      <w:outlineLvl w:val="1"/>
    </w:pPr>
    <w:rPr>
      <w:rFonts w:ascii="Lato" w:eastAsiaTheme="majorEastAsia" w:hAnsi="Lato" w:cstheme="majorBidi"/>
      <w:b/>
      <w:color w:val="042B60"/>
      <w:sz w:val="26"/>
      <w:szCs w:val="26"/>
      <w:lang w:eastAsia="pl-PL"/>
    </w:rPr>
  </w:style>
  <w:style w:type="paragraph" w:styleId="Nagwek3">
    <w:name w:val="heading 3"/>
    <w:basedOn w:val="Normalny"/>
    <w:link w:val="Nagwek3Znak"/>
    <w:uiPriority w:val="9"/>
    <w:qFormat/>
    <w:rsid w:val="00161D56"/>
    <w:pPr>
      <w:spacing w:before="100" w:beforeAutospacing="1" w:after="100" w:afterAutospacing="1"/>
      <w:outlineLvl w:val="2"/>
    </w:pPr>
    <w:rPr>
      <w:rFonts w:ascii="Times New Roman" w:eastAsia="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07E51"/>
    <w:rPr>
      <w:rFonts w:ascii="Lato" w:eastAsiaTheme="majorEastAsia" w:hAnsi="Lato" w:cstheme="majorBidi"/>
      <w:b/>
      <w:color w:val="042B60"/>
      <w:sz w:val="26"/>
      <w:szCs w:val="26"/>
      <w:lang w:eastAsia="pl-PL"/>
    </w:rPr>
  </w:style>
  <w:style w:type="character" w:customStyle="1" w:styleId="Nagwek1Znak">
    <w:name w:val="Nagłówek 1 Znak"/>
    <w:basedOn w:val="Domylnaczcionkaakapitu"/>
    <w:link w:val="Nagwek1"/>
    <w:uiPriority w:val="9"/>
    <w:rsid w:val="00107E51"/>
    <w:rPr>
      <w:rFonts w:ascii="Lato" w:eastAsiaTheme="majorEastAsia" w:hAnsi="Lato" w:cstheme="majorBidi"/>
      <w:b/>
      <w:color w:val="042B60"/>
      <w:sz w:val="32"/>
      <w:szCs w:val="32"/>
      <w:lang w:eastAsia="pl-PL"/>
    </w:rPr>
  </w:style>
  <w:style w:type="character" w:customStyle="1" w:styleId="Nagwek3Znak">
    <w:name w:val="Nagłówek 3 Znak"/>
    <w:basedOn w:val="Domylnaczcionkaakapitu"/>
    <w:link w:val="Nagwek3"/>
    <w:uiPriority w:val="9"/>
    <w:rsid w:val="00161D56"/>
    <w:rPr>
      <w:rFonts w:ascii="Times New Roman" w:eastAsia="Times New Roman" w:hAnsi="Times New Roman"/>
      <w:b/>
      <w:bCs/>
      <w:sz w:val="27"/>
      <w:szCs w:val="27"/>
      <w:lang w:eastAsia="pl-PL"/>
    </w:rPr>
  </w:style>
  <w:style w:type="character" w:styleId="Hipercze">
    <w:name w:val="Hyperlink"/>
    <w:basedOn w:val="Domylnaczcionkaakapitu"/>
    <w:uiPriority w:val="99"/>
    <w:semiHidden/>
    <w:unhideWhenUsed/>
    <w:rsid w:val="00161D56"/>
    <w:rPr>
      <w:color w:val="0000FF"/>
      <w:u w:val="single"/>
    </w:rPr>
  </w:style>
  <w:style w:type="character" w:customStyle="1" w:styleId="alt-edited">
    <w:name w:val="alt-edited"/>
    <w:basedOn w:val="Domylnaczcionkaakapitu"/>
    <w:rsid w:val="00C70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792299">
      <w:bodyDiv w:val="1"/>
      <w:marLeft w:val="0"/>
      <w:marRight w:val="0"/>
      <w:marTop w:val="0"/>
      <w:marBottom w:val="0"/>
      <w:divBdr>
        <w:top w:val="none" w:sz="0" w:space="0" w:color="auto"/>
        <w:left w:val="none" w:sz="0" w:space="0" w:color="auto"/>
        <w:bottom w:val="none" w:sz="0" w:space="0" w:color="auto"/>
        <w:right w:val="none" w:sz="0" w:space="0" w:color="auto"/>
      </w:divBdr>
      <w:divsChild>
        <w:div w:id="55902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xtranet.era.europa.eu/safety/SIS/Lists/Safety%20Alert/Attachments/60/AFR%2022%20bogies%20Safety%20Ale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tranet.era.europa.eu/safety/SIS/_layouts/15/listform.aspx?PageType=4&amp;ListId=83202955-4d3b-45bd-adf9-43f693ecb55a&amp;ID=4&amp;RootFold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1644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Bożek</dc:creator>
  <cp:lastModifiedBy>Aleksandra Kania</cp:lastModifiedBy>
  <cp:revision>2</cp:revision>
  <dcterms:created xsi:type="dcterms:W3CDTF">2018-03-20T11:51:00Z</dcterms:created>
  <dcterms:modified xsi:type="dcterms:W3CDTF">2018-03-20T11:51:00Z</dcterms:modified>
</cp:coreProperties>
</file>